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3" w:rsidRPr="00D34D53" w:rsidRDefault="00D34D53" w:rsidP="00D34D5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 w:cs="Arial"/>
          <w:color w:val="444444"/>
          <w:sz w:val="36"/>
          <w:szCs w:val="36"/>
          <w:lang w:eastAsia="ru-RU"/>
        </w:rPr>
      </w:pPr>
      <w:r w:rsidRPr="00D34D53">
        <w:rPr>
          <w:rFonts w:eastAsia="Times New Roman" w:cs="Arial"/>
          <w:color w:val="444444"/>
          <w:sz w:val="36"/>
          <w:szCs w:val="36"/>
          <w:lang w:eastAsia="ru-RU"/>
        </w:rPr>
        <w:t>Расписание ВПР  2018 - 11 класс</w:t>
      </w:r>
    </w:p>
    <w:tbl>
      <w:tblPr>
        <w:tblW w:w="85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2"/>
        <w:gridCol w:w="4283"/>
      </w:tblGrid>
      <w:tr w:rsidR="00D34D53" w:rsidRPr="00D34D53" w:rsidTr="00D34D53">
        <w:tc>
          <w:tcPr>
            <w:tcW w:w="800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7EBB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b/>
                <w:bCs/>
                <w:color w:val="444444"/>
                <w:sz w:val="36"/>
                <w:szCs w:val="36"/>
                <w:lang w:eastAsia="ru-RU"/>
              </w:rPr>
              <w:t>Предмет (ВПР)</w:t>
            </w:r>
          </w:p>
        </w:tc>
        <w:tc>
          <w:tcPr>
            <w:tcW w:w="800" w:type="pc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7EBB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b/>
                <w:bCs/>
                <w:color w:val="444444"/>
                <w:sz w:val="36"/>
                <w:szCs w:val="36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D34D53" w:rsidRPr="00D34D53" w:rsidTr="00D34D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20 марта </w:t>
            </w:r>
          </w:p>
        </w:tc>
      </w:tr>
      <w:tr w:rsidR="00D34D53" w:rsidRPr="00D34D53" w:rsidTr="00D34D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21 марта </w:t>
            </w:r>
          </w:p>
        </w:tc>
      </w:tr>
      <w:tr w:rsidR="00D34D53" w:rsidRPr="00D34D53" w:rsidTr="00D34D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3 апреля </w:t>
            </w:r>
          </w:p>
        </w:tc>
      </w:tr>
      <w:tr w:rsidR="00D34D53" w:rsidRPr="00D34D53" w:rsidTr="00D34D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5 апреля</w:t>
            </w:r>
          </w:p>
        </w:tc>
      </w:tr>
      <w:tr w:rsidR="00D34D53" w:rsidRPr="00D34D53" w:rsidTr="00D34D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10 апреля </w:t>
            </w:r>
          </w:p>
        </w:tc>
      </w:tr>
      <w:tr w:rsidR="00D34D53" w:rsidRPr="00D34D53" w:rsidTr="00D34D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4D53" w:rsidRPr="00D34D53" w:rsidRDefault="00D34D53" w:rsidP="00D34D53">
            <w:pPr>
              <w:spacing w:after="0" w:line="360" w:lineRule="atLeast"/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</w:pPr>
            <w:r w:rsidRPr="00D34D53">
              <w:rPr>
                <w:rFonts w:eastAsia="Times New Roman" w:cs="Arial"/>
                <w:color w:val="444444"/>
                <w:sz w:val="36"/>
                <w:szCs w:val="36"/>
                <w:lang w:eastAsia="ru-RU"/>
              </w:rPr>
              <w:t>12 апреля </w:t>
            </w:r>
          </w:p>
        </w:tc>
      </w:tr>
    </w:tbl>
    <w:p w:rsidR="00D34D53" w:rsidRPr="00D34D53" w:rsidRDefault="00D34D53" w:rsidP="00D34D53">
      <w:pPr>
        <w:shd w:val="clear" w:color="auto" w:fill="FFFFFF"/>
        <w:spacing w:after="360" w:line="360" w:lineRule="atLeast"/>
        <w:ind w:firstLine="150"/>
        <w:textAlignment w:val="baseline"/>
        <w:rPr>
          <w:rFonts w:eastAsia="Times New Roman" w:cs="Arial"/>
          <w:color w:val="444444"/>
          <w:sz w:val="36"/>
          <w:szCs w:val="36"/>
          <w:lang w:eastAsia="ru-RU"/>
        </w:rPr>
      </w:pPr>
      <w:r w:rsidRPr="00D34D53">
        <w:rPr>
          <w:rFonts w:eastAsia="Times New Roman" w:cs="Arial"/>
          <w:color w:val="444444"/>
          <w:sz w:val="36"/>
          <w:szCs w:val="36"/>
          <w:lang w:eastAsia="ru-RU"/>
        </w:rPr>
        <w:t>Проверочная работа по иностранным языкам проводится впервые.</w:t>
      </w:r>
    </w:p>
    <w:p w:rsidR="00D34D53" w:rsidRPr="00D34D53" w:rsidRDefault="00D34D53" w:rsidP="00D34D53">
      <w:pPr>
        <w:shd w:val="clear" w:color="auto" w:fill="FFFFFF"/>
        <w:spacing w:after="360" w:line="360" w:lineRule="atLeast"/>
        <w:ind w:firstLine="150"/>
        <w:textAlignment w:val="baseline"/>
        <w:rPr>
          <w:rFonts w:eastAsia="Times New Roman" w:cs="Arial"/>
          <w:color w:val="444444"/>
          <w:sz w:val="36"/>
          <w:szCs w:val="36"/>
          <w:lang w:eastAsia="ru-RU"/>
        </w:rPr>
      </w:pPr>
      <w:r w:rsidRPr="00D34D53">
        <w:rPr>
          <w:rFonts w:eastAsia="Times New Roman" w:cs="Arial"/>
          <w:color w:val="444444"/>
          <w:sz w:val="36"/>
          <w:szCs w:val="36"/>
          <w:lang w:eastAsia="ru-RU"/>
        </w:rPr>
        <w:t>В 2017 году ВПР в 11 классах проводились первый раз и по решению школы.</w:t>
      </w:r>
    </w:p>
    <w:p w:rsidR="00D34D53" w:rsidRPr="00D34D53" w:rsidRDefault="00D34D53" w:rsidP="00D34D53">
      <w:pPr>
        <w:shd w:val="clear" w:color="auto" w:fill="FFFFFF"/>
        <w:spacing w:after="360" w:line="360" w:lineRule="atLeast"/>
        <w:ind w:firstLine="150"/>
        <w:textAlignment w:val="baseline"/>
        <w:rPr>
          <w:rFonts w:eastAsia="Times New Roman" w:cs="Arial"/>
          <w:color w:val="444444"/>
          <w:sz w:val="36"/>
          <w:szCs w:val="36"/>
          <w:lang w:eastAsia="ru-RU"/>
        </w:rPr>
      </w:pPr>
      <w:r w:rsidRPr="00D34D53">
        <w:rPr>
          <w:rFonts w:eastAsia="Times New Roman" w:cs="Arial"/>
          <w:color w:val="444444"/>
          <w:sz w:val="36"/>
          <w:szCs w:val="36"/>
          <w:lang w:eastAsia="ru-RU"/>
        </w:rPr>
        <w:t> В 11 классах ВПР проводятся для обучающихся, не выбравших ЕГЭ по соответствующим предметам.</w:t>
      </w:r>
    </w:p>
    <w:p w:rsidR="00D34D53" w:rsidRPr="00D34D53" w:rsidRDefault="00D34D53" w:rsidP="00D34D53">
      <w:pPr>
        <w:shd w:val="clear" w:color="auto" w:fill="FFFFFF"/>
        <w:spacing w:after="360" w:line="360" w:lineRule="atLeast"/>
        <w:ind w:firstLine="150"/>
        <w:textAlignment w:val="baseline"/>
        <w:rPr>
          <w:rFonts w:eastAsia="Times New Roman" w:cs="Arial"/>
          <w:color w:val="444444"/>
          <w:sz w:val="36"/>
          <w:szCs w:val="36"/>
          <w:lang w:eastAsia="ru-RU"/>
        </w:rPr>
      </w:pPr>
      <w:r w:rsidRPr="00D34D53">
        <w:rPr>
          <w:rFonts w:eastAsia="Times New Roman" w:cs="Arial"/>
          <w:color w:val="444444"/>
          <w:sz w:val="36"/>
          <w:szCs w:val="36"/>
          <w:lang w:eastAsia="ru-RU"/>
        </w:rPr>
        <w:t>ВПР в 11 классах не заменяет ЕГЭ, а является дополнительной формой оценки уровня подготовки выпускников по тем предметам, по которым они не планируют сдавать ЕГЭ. Следовательно, обязательные предметы ЕГЭ в перечень предметов ВПР для 11 классов не входят.</w:t>
      </w:r>
    </w:p>
    <w:p w:rsidR="00A40505" w:rsidRPr="00D34D53" w:rsidRDefault="00A40505">
      <w:pPr>
        <w:rPr>
          <w:sz w:val="36"/>
          <w:szCs w:val="36"/>
        </w:rPr>
      </w:pPr>
    </w:p>
    <w:sectPr w:rsidR="00A40505" w:rsidRPr="00D34D53" w:rsidSect="00A4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D53"/>
    <w:rsid w:val="00A40505"/>
    <w:rsid w:val="00D3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5"/>
  </w:style>
  <w:style w:type="paragraph" w:styleId="3">
    <w:name w:val="heading 3"/>
    <w:basedOn w:val="a"/>
    <w:link w:val="30"/>
    <w:uiPriority w:val="9"/>
    <w:qFormat/>
    <w:rsid w:val="00D34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4D53"/>
    <w:rPr>
      <w:b/>
      <w:bCs/>
    </w:rPr>
  </w:style>
  <w:style w:type="paragraph" w:styleId="a4">
    <w:name w:val="Normal (Web)"/>
    <w:basedOn w:val="a"/>
    <w:uiPriority w:val="99"/>
    <w:semiHidden/>
    <w:unhideWhenUsed/>
    <w:rsid w:val="00D3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2018-01-17T23:44:00Z</dcterms:created>
  <dcterms:modified xsi:type="dcterms:W3CDTF">2018-01-17T23:48:00Z</dcterms:modified>
</cp:coreProperties>
</file>